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DF9E" w14:textId="77777777" w:rsidR="00403C23" w:rsidRPr="00BB78E2" w:rsidRDefault="00403C23" w:rsidP="00403C23">
      <w:pPr>
        <w:spacing w:before="82"/>
        <w:ind w:left="100"/>
        <w:rPr>
          <w:b/>
        </w:rPr>
      </w:pPr>
      <w:r w:rsidRPr="00BB78E2">
        <w:rPr>
          <w:b/>
          <w:u w:val="single"/>
        </w:rPr>
        <w:t>Specific Terms and Conditions</w:t>
      </w:r>
    </w:p>
    <w:p w14:paraId="619C7482" w14:textId="77777777" w:rsidR="00403C23" w:rsidRPr="00BB78E2" w:rsidRDefault="00403C23" w:rsidP="00403C23">
      <w:pPr>
        <w:pStyle w:val="BodyText"/>
        <w:spacing w:before="9"/>
        <w:ind w:left="0"/>
        <w:rPr>
          <w:b/>
          <w:sz w:val="22"/>
          <w:szCs w:val="22"/>
        </w:rPr>
      </w:pPr>
    </w:p>
    <w:p w14:paraId="4A2E9457" w14:textId="77777777" w:rsidR="00403C23" w:rsidRPr="00BB78E2" w:rsidRDefault="00403C23" w:rsidP="00403C23">
      <w:pPr>
        <w:pStyle w:val="Heading1"/>
        <w:spacing w:before="94"/>
        <w:rPr>
          <w:sz w:val="22"/>
          <w:szCs w:val="22"/>
        </w:rPr>
      </w:pPr>
      <w:r w:rsidRPr="00BB78E2">
        <w:rPr>
          <w:sz w:val="22"/>
          <w:szCs w:val="22"/>
        </w:rPr>
        <w:t>Purpose:</w:t>
      </w:r>
    </w:p>
    <w:p w14:paraId="77FDA3C5" w14:textId="627F62AF" w:rsidR="00403C23" w:rsidRPr="00BB78E2" w:rsidRDefault="00403C23" w:rsidP="00403C23">
      <w:pPr>
        <w:pStyle w:val="BodyText"/>
        <w:ind w:right="145"/>
        <w:rPr>
          <w:sz w:val="22"/>
          <w:szCs w:val="22"/>
        </w:rPr>
      </w:pPr>
      <w:r w:rsidRPr="00BB78E2">
        <w:rPr>
          <w:sz w:val="22"/>
          <w:szCs w:val="22"/>
        </w:rPr>
        <w:t xml:space="preserve">The purpose of this TITB (Transportation Invitation to Bid) is to establish a statewide </w:t>
      </w:r>
      <w:r>
        <w:rPr>
          <w:sz w:val="22"/>
          <w:szCs w:val="22"/>
        </w:rPr>
        <w:t>Erosion Control</w:t>
      </w:r>
      <w:r w:rsidRPr="00BB78E2">
        <w:rPr>
          <w:sz w:val="22"/>
          <w:szCs w:val="22"/>
        </w:rPr>
        <w:t xml:space="preserve"> (MA)</w:t>
      </w:r>
      <w:r w:rsidR="00214A1B">
        <w:rPr>
          <w:sz w:val="22"/>
          <w:szCs w:val="22"/>
        </w:rPr>
        <w:t xml:space="preserve"> using Polyethylene Barrier Wall Construction</w:t>
      </w:r>
      <w:r w:rsidRPr="00BB78E2">
        <w:rPr>
          <w:sz w:val="22"/>
          <w:szCs w:val="22"/>
        </w:rPr>
        <w:t>. This MA will only be used by the Alabama Department of Transportation, through the Model Procurement Act.</w:t>
      </w:r>
    </w:p>
    <w:p w14:paraId="5880B86C" w14:textId="77777777" w:rsidR="00403C23" w:rsidRPr="00BB78E2" w:rsidRDefault="00403C23" w:rsidP="00403C23">
      <w:pPr>
        <w:pStyle w:val="BodyText"/>
        <w:spacing w:before="1"/>
        <w:ind w:left="0"/>
        <w:rPr>
          <w:sz w:val="22"/>
          <w:szCs w:val="22"/>
        </w:rPr>
      </w:pPr>
    </w:p>
    <w:p w14:paraId="5D2FEAD0" w14:textId="77777777" w:rsidR="00403C23" w:rsidRPr="00BB78E2" w:rsidRDefault="00403C23" w:rsidP="00403C23">
      <w:pPr>
        <w:pStyle w:val="Heading1"/>
        <w:spacing w:line="184" w:lineRule="exact"/>
        <w:rPr>
          <w:sz w:val="22"/>
          <w:szCs w:val="22"/>
        </w:rPr>
      </w:pPr>
      <w:r w:rsidRPr="00BB78E2">
        <w:rPr>
          <w:sz w:val="22"/>
          <w:szCs w:val="22"/>
        </w:rPr>
        <w:t>Award:</w:t>
      </w:r>
    </w:p>
    <w:p w14:paraId="125016C4" w14:textId="084C3CA1" w:rsidR="00403C23" w:rsidRPr="00BB78E2" w:rsidRDefault="00403C23" w:rsidP="00403C23">
      <w:pPr>
        <w:pStyle w:val="BodyText"/>
        <w:rPr>
          <w:sz w:val="22"/>
          <w:szCs w:val="22"/>
        </w:rPr>
      </w:pPr>
      <w:r w:rsidRPr="00BB78E2">
        <w:rPr>
          <w:sz w:val="22"/>
          <w:szCs w:val="22"/>
        </w:rPr>
        <w:t>Award will be</w:t>
      </w:r>
      <w:r w:rsidR="00146C41">
        <w:rPr>
          <w:sz w:val="22"/>
          <w:szCs w:val="22"/>
        </w:rPr>
        <w:t xml:space="preserve"> </w:t>
      </w:r>
      <w:r w:rsidR="00576427">
        <w:rPr>
          <w:sz w:val="22"/>
          <w:szCs w:val="22"/>
        </w:rPr>
        <w:t xml:space="preserve">made </w:t>
      </w:r>
      <w:r w:rsidR="00146C41">
        <w:rPr>
          <w:sz w:val="22"/>
          <w:szCs w:val="22"/>
        </w:rPr>
        <w:t>per group</w:t>
      </w:r>
      <w:r>
        <w:rPr>
          <w:sz w:val="22"/>
          <w:szCs w:val="22"/>
        </w:rPr>
        <w:t xml:space="preserve"> t</w:t>
      </w:r>
      <w:r w:rsidRPr="00BB78E2">
        <w:rPr>
          <w:sz w:val="22"/>
          <w:szCs w:val="22"/>
        </w:rPr>
        <w:t xml:space="preserve">o the bidder(s) meeting all specifications and offering the </w:t>
      </w:r>
      <w:r>
        <w:rPr>
          <w:sz w:val="22"/>
          <w:szCs w:val="22"/>
        </w:rPr>
        <w:t xml:space="preserve">lowest overall pricing for the </w:t>
      </w:r>
      <w:r w:rsidR="00146C41">
        <w:rPr>
          <w:sz w:val="22"/>
          <w:szCs w:val="22"/>
        </w:rPr>
        <w:t>individual group.</w:t>
      </w:r>
      <w:r w:rsidR="000B408B">
        <w:rPr>
          <w:sz w:val="22"/>
          <w:szCs w:val="22"/>
        </w:rPr>
        <w:t xml:space="preserve"> The entire group must be bid by the bidder.</w:t>
      </w:r>
      <w:r w:rsidR="00146C41">
        <w:rPr>
          <w:sz w:val="22"/>
          <w:szCs w:val="22"/>
        </w:rPr>
        <w:t xml:space="preserve"> </w:t>
      </w:r>
      <w:r w:rsidR="00146C41" w:rsidRPr="00CB5216">
        <w:rPr>
          <w:b/>
          <w:bCs/>
          <w:sz w:val="22"/>
          <w:szCs w:val="22"/>
        </w:rPr>
        <w:t>Group 1</w:t>
      </w:r>
      <w:r w:rsidR="00146C41">
        <w:rPr>
          <w:sz w:val="22"/>
          <w:szCs w:val="22"/>
        </w:rPr>
        <w:t xml:space="preserve"> (North Region) includes the following Counties: Lauderdale, Colbert, Franklin, Limestone, Lawrence, Madison, Morgan, Cullman, Jackson, Marshall, Dekalb, </w:t>
      </w:r>
      <w:r w:rsidR="00CB5216">
        <w:rPr>
          <w:sz w:val="22"/>
          <w:szCs w:val="22"/>
        </w:rPr>
        <w:t xml:space="preserve">Etowah, and Cherokee. </w:t>
      </w:r>
      <w:r w:rsidR="00CB5216" w:rsidRPr="00CB5216">
        <w:rPr>
          <w:b/>
          <w:bCs/>
          <w:sz w:val="22"/>
          <w:szCs w:val="22"/>
        </w:rPr>
        <w:t>Group 2</w:t>
      </w:r>
      <w:r w:rsidR="00CB5216">
        <w:rPr>
          <w:sz w:val="22"/>
          <w:szCs w:val="22"/>
        </w:rPr>
        <w:t xml:space="preserve"> (West Central Region) includes the following Counties: Marion, Winston, Lamar, Fayette, Walker, Pickens, Tuscaloosa, Sumter, Greene, Hale, Bibb, Perry, Dallas, and Chilton</w:t>
      </w:r>
      <w:r w:rsidR="00CB5216" w:rsidRPr="00CB5216">
        <w:rPr>
          <w:b/>
          <w:bCs/>
          <w:sz w:val="22"/>
          <w:szCs w:val="22"/>
        </w:rPr>
        <w:t>. Group 3</w:t>
      </w:r>
      <w:r w:rsidR="00CB5216">
        <w:rPr>
          <w:sz w:val="22"/>
          <w:szCs w:val="22"/>
        </w:rPr>
        <w:t xml:space="preserve"> (East Central Region) includes the following Counties: Blount, Jefferson, St. Clair, Shelby, Calhoun, Cleburne, Talladega, Clay, Randolph, Coosa, Tallapoosa, and Chambers. </w:t>
      </w:r>
      <w:r w:rsidR="00CB5216" w:rsidRPr="00CB5216">
        <w:rPr>
          <w:b/>
          <w:bCs/>
          <w:sz w:val="22"/>
          <w:szCs w:val="22"/>
        </w:rPr>
        <w:t>Group 4</w:t>
      </w:r>
      <w:r w:rsidR="00CB5216">
        <w:rPr>
          <w:sz w:val="22"/>
          <w:szCs w:val="22"/>
        </w:rPr>
        <w:t xml:space="preserve"> (Southwest Region) includes the following Counties: Choctaw, Marengo, Wilcox, Washington, Clarke, Monroe, Mobile, Baldwin, Escambia, and Conecuh.</w:t>
      </w:r>
      <w:r>
        <w:rPr>
          <w:sz w:val="22"/>
          <w:szCs w:val="22"/>
        </w:rPr>
        <w:t xml:space="preserve"> </w:t>
      </w:r>
      <w:r w:rsidR="00CB5216" w:rsidRPr="00CB5216">
        <w:rPr>
          <w:b/>
          <w:bCs/>
          <w:sz w:val="22"/>
          <w:szCs w:val="22"/>
        </w:rPr>
        <w:t>Group 5</w:t>
      </w:r>
      <w:r w:rsidR="00CB5216">
        <w:rPr>
          <w:sz w:val="22"/>
          <w:szCs w:val="22"/>
        </w:rPr>
        <w:t xml:space="preserve"> (Southeast Region) includes the following Counties: Autauga, Elmore, Lee, Lowndes, Montgomery, Macon, Russell, Bullock, Butler, Crenshaw, Pike, Barbour, Covington, Coffee, Dale, Henry, Geneva, and Houston.</w:t>
      </w:r>
    </w:p>
    <w:p w14:paraId="25861194" w14:textId="77777777" w:rsidR="00403C23" w:rsidRPr="00BB78E2" w:rsidRDefault="00403C23" w:rsidP="00403C23">
      <w:pPr>
        <w:pStyle w:val="BodyText"/>
        <w:spacing w:before="10"/>
        <w:ind w:left="0"/>
        <w:rPr>
          <w:sz w:val="22"/>
          <w:szCs w:val="22"/>
        </w:rPr>
      </w:pPr>
    </w:p>
    <w:p w14:paraId="235D3355" w14:textId="77777777" w:rsidR="00403C23" w:rsidRPr="00BB78E2" w:rsidRDefault="00403C23" w:rsidP="00403C23">
      <w:pPr>
        <w:pStyle w:val="BodyText"/>
        <w:spacing w:before="1"/>
        <w:ind w:left="0"/>
        <w:rPr>
          <w:sz w:val="22"/>
          <w:szCs w:val="22"/>
        </w:rPr>
      </w:pPr>
    </w:p>
    <w:p w14:paraId="4987122E" w14:textId="77777777" w:rsidR="00403C23" w:rsidRPr="00BB78E2" w:rsidRDefault="00403C23" w:rsidP="00403C23">
      <w:pPr>
        <w:pStyle w:val="Heading1"/>
        <w:spacing w:before="1"/>
        <w:rPr>
          <w:sz w:val="22"/>
          <w:szCs w:val="22"/>
        </w:rPr>
      </w:pPr>
      <w:r w:rsidRPr="00BB78E2">
        <w:rPr>
          <w:sz w:val="22"/>
          <w:szCs w:val="22"/>
        </w:rPr>
        <w:t>Bid submission instructions:</w:t>
      </w:r>
    </w:p>
    <w:p w14:paraId="5DD1416E" w14:textId="77777777" w:rsidR="00403C23" w:rsidRPr="00BB78E2" w:rsidRDefault="00403C23" w:rsidP="00403C23">
      <w:pPr>
        <w:pStyle w:val="BodyText"/>
        <w:ind w:right="127"/>
        <w:rPr>
          <w:sz w:val="22"/>
          <w:szCs w:val="22"/>
        </w:rPr>
      </w:pPr>
      <w:r w:rsidRPr="00BB78E2">
        <w:rPr>
          <w:sz w:val="22"/>
          <w:szCs w:val="22"/>
        </w:rPr>
        <w:t xml:space="preserve">Bids must be submitted to </w:t>
      </w:r>
      <w:hyperlink r:id="rId7" w:history="1">
        <w:r w:rsidRPr="00BB78E2">
          <w:rPr>
            <w:rStyle w:val="Hyperlink"/>
            <w:sz w:val="22"/>
            <w:szCs w:val="22"/>
          </w:rPr>
          <w:t>bids@dot.state.al.us</w:t>
        </w:r>
      </w:hyperlink>
      <w:r w:rsidRPr="00BB78E2">
        <w:rPr>
          <w:sz w:val="22"/>
          <w:szCs w:val="22"/>
        </w:rPr>
        <w:t xml:space="preserve"> by 5:00pm on the date listed on the ALDOT website.</w:t>
      </w:r>
    </w:p>
    <w:p w14:paraId="3FC8072E" w14:textId="77777777" w:rsidR="00403C23" w:rsidRPr="00BB78E2" w:rsidRDefault="00403C23" w:rsidP="00403C23">
      <w:pPr>
        <w:pStyle w:val="BodyText"/>
        <w:spacing w:before="10"/>
        <w:ind w:left="0"/>
        <w:rPr>
          <w:sz w:val="22"/>
          <w:szCs w:val="22"/>
        </w:rPr>
      </w:pPr>
    </w:p>
    <w:p w14:paraId="5AD70B17" w14:textId="77777777" w:rsidR="00403C23" w:rsidRPr="00BB78E2" w:rsidRDefault="00403C23" w:rsidP="00403C23">
      <w:pPr>
        <w:pStyle w:val="BodyText"/>
        <w:spacing w:before="1"/>
        <w:ind w:left="0"/>
        <w:rPr>
          <w:sz w:val="22"/>
          <w:szCs w:val="22"/>
        </w:rPr>
      </w:pPr>
    </w:p>
    <w:p w14:paraId="06D158D6" w14:textId="77777777" w:rsidR="00403C23" w:rsidRPr="00BB78E2" w:rsidRDefault="00403C23" w:rsidP="00403C23">
      <w:pPr>
        <w:pStyle w:val="BodyText"/>
        <w:ind w:left="0"/>
        <w:rPr>
          <w:sz w:val="22"/>
          <w:szCs w:val="22"/>
        </w:rPr>
      </w:pPr>
    </w:p>
    <w:p w14:paraId="2706DB45" w14:textId="77777777" w:rsidR="00403C23" w:rsidRPr="00BB78E2" w:rsidRDefault="00403C23" w:rsidP="00403C23">
      <w:pPr>
        <w:pStyle w:val="Heading1"/>
        <w:spacing w:before="1"/>
        <w:rPr>
          <w:sz w:val="22"/>
          <w:szCs w:val="22"/>
        </w:rPr>
      </w:pPr>
      <w:r w:rsidRPr="00BB78E2">
        <w:rPr>
          <w:sz w:val="22"/>
          <w:szCs w:val="22"/>
        </w:rPr>
        <w:t>Delivery time frame:</w:t>
      </w:r>
    </w:p>
    <w:p w14:paraId="4D169C3D" w14:textId="77777777" w:rsidR="00403C23" w:rsidRPr="00BB78E2" w:rsidRDefault="00403C23" w:rsidP="00403C23">
      <w:pPr>
        <w:pStyle w:val="BodyText"/>
        <w:ind w:right="637"/>
        <w:rPr>
          <w:sz w:val="22"/>
          <w:szCs w:val="22"/>
        </w:rPr>
      </w:pPr>
      <w:r w:rsidRPr="00BB78E2">
        <w:rPr>
          <w:sz w:val="22"/>
          <w:szCs w:val="22"/>
        </w:rPr>
        <w:t>All items ordered must be delivered to the “ship to” address shown on the P.O. within thirty (</w:t>
      </w:r>
      <w:r>
        <w:rPr>
          <w:sz w:val="22"/>
          <w:szCs w:val="22"/>
        </w:rPr>
        <w:t>9</w:t>
      </w:r>
      <w:r w:rsidRPr="00BB78E2">
        <w:rPr>
          <w:sz w:val="22"/>
          <w:szCs w:val="22"/>
        </w:rPr>
        <w:t>0) days of vendor’s receipt of order, unless previously agreed upon in writing by the ordering agency.</w:t>
      </w:r>
    </w:p>
    <w:p w14:paraId="7774B682" w14:textId="77777777" w:rsidR="00403C23" w:rsidRPr="00BB78E2" w:rsidRDefault="00403C23" w:rsidP="00403C23">
      <w:pPr>
        <w:pStyle w:val="BodyText"/>
        <w:ind w:left="0"/>
        <w:rPr>
          <w:sz w:val="22"/>
          <w:szCs w:val="22"/>
        </w:rPr>
      </w:pPr>
    </w:p>
    <w:p w14:paraId="182C0137" w14:textId="77777777" w:rsidR="00403C23" w:rsidRPr="001B6A8C" w:rsidRDefault="00403C23" w:rsidP="00403C23">
      <w:pPr>
        <w:pStyle w:val="BodyText"/>
        <w:rPr>
          <w:b/>
          <w:bCs/>
          <w:sz w:val="22"/>
          <w:szCs w:val="22"/>
        </w:rPr>
      </w:pPr>
      <w:r>
        <w:rPr>
          <w:b/>
          <w:bCs/>
          <w:sz w:val="22"/>
          <w:szCs w:val="22"/>
        </w:rPr>
        <w:t>Unrealistic Pricing:</w:t>
      </w:r>
    </w:p>
    <w:p w14:paraId="6B374C95" w14:textId="77777777" w:rsidR="00403C23" w:rsidRPr="00BB78E2" w:rsidRDefault="00403C23" w:rsidP="00403C23">
      <w:pPr>
        <w:pStyle w:val="BodyText"/>
        <w:spacing w:before="10"/>
        <w:ind w:left="0"/>
        <w:rPr>
          <w:sz w:val="22"/>
          <w:szCs w:val="22"/>
        </w:rPr>
      </w:pPr>
      <w:r>
        <w:rPr>
          <w:sz w:val="22"/>
          <w:szCs w:val="22"/>
        </w:rPr>
        <w:t xml:space="preserve">  Percentage discounts that are found to be unrealistic may be rejected. </w:t>
      </w:r>
    </w:p>
    <w:p w14:paraId="4381D369" w14:textId="77777777" w:rsidR="00403C23" w:rsidRPr="00BB78E2" w:rsidRDefault="00403C23" w:rsidP="00403C23">
      <w:pPr>
        <w:pStyle w:val="BodyText"/>
        <w:spacing w:before="1"/>
        <w:ind w:left="0"/>
        <w:rPr>
          <w:sz w:val="22"/>
          <w:szCs w:val="22"/>
        </w:rPr>
      </w:pPr>
    </w:p>
    <w:p w14:paraId="6698308B" w14:textId="77777777" w:rsidR="00403C23" w:rsidRPr="00BB78E2" w:rsidRDefault="00403C23" w:rsidP="00403C23">
      <w:pPr>
        <w:pStyle w:val="Heading1"/>
        <w:rPr>
          <w:sz w:val="22"/>
          <w:szCs w:val="22"/>
        </w:rPr>
      </w:pPr>
      <w:r w:rsidRPr="00BB78E2">
        <w:rPr>
          <w:sz w:val="22"/>
          <w:szCs w:val="22"/>
        </w:rPr>
        <w:t>Contract period:</w:t>
      </w:r>
    </w:p>
    <w:p w14:paraId="778B36AF" w14:textId="77777777" w:rsidR="00403C23" w:rsidRDefault="00403C23" w:rsidP="00403C23">
      <w:pPr>
        <w:pStyle w:val="BodyText"/>
        <w:spacing w:before="1"/>
        <w:ind w:right="145"/>
        <w:rPr>
          <w:sz w:val="22"/>
          <w:szCs w:val="22"/>
        </w:rPr>
      </w:pPr>
      <w:r w:rsidRPr="00BB78E2">
        <w:rPr>
          <w:sz w:val="22"/>
          <w:szCs w:val="22"/>
        </w:rPr>
        <w:t xml:space="preserve">Establish a 12-month contract with an option to extend for a second, third, fourth, and fifth 12-month period with the same pricing, </w:t>
      </w:r>
      <w:proofErr w:type="gramStart"/>
      <w:r w:rsidRPr="00BB78E2">
        <w:rPr>
          <w:sz w:val="22"/>
          <w:szCs w:val="22"/>
        </w:rPr>
        <w:t>terms</w:t>
      </w:r>
      <w:proofErr w:type="gramEnd"/>
      <w:r w:rsidRPr="00BB78E2">
        <w:rPr>
          <w:sz w:val="22"/>
          <w:szCs w:val="22"/>
        </w:rPr>
        <w:t xml:space="preserve"> and conditions. The second, third, fourth, or fifth 12-month period, if agreed by both parties, would begin the day after the first, second, third, or fourth 12-month period expires. Any successive extension must have written approval of both the state and vendor no later than 30 days prior to expiration of the previous 12-month period.</w:t>
      </w:r>
    </w:p>
    <w:p w14:paraId="70A18926" w14:textId="77777777" w:rsidR="00627CEB" w:rsidRDefault="00627CEB" w:rsidP="00403C23">
      <w:pPr>
        <w:pStyle w:val="BodyText"/>
        <w:spacing w:before="1"/>
        <w:ind w:right="145"/>
        <w:rPr>
          <w:sz w:val="22"/>
          <w:szCs w:val="22"/>
        </w:rPr>
      </w:pPr>
    </w:p>
    <w:p w14:paraId="13CAACE3" w14:textId="77777777" w:rsidR="00627CEB" w:rsidRPr="00627CEB" w:rsidRDefault="00627CEB" w:rsidP="00403C23">
      <w:pPr>
        <w:pStyle w:val="BodyText"/>
        <w:spacing w:before="1"/>
        <w:ind w:right="145"/>
        <w:rPr>
          <w:b/>
          <w:bCs/>
          <w:sz w:val="22"/>
          <w:szCs w:val="22"/>
        </w:rPr>
      </w:pPr>
      <w:r w:rsidRPr="00627CEB">
        <w:rPr>
          <w:b/>
          <w:bCs/>
          <w:sz w:val="22"/>
          <w:szCs w:val="22"/>
        </w:rPr>
        <w:t xml:space="preserve">Price Escalation: </w:t>
      </w:r>
    </w:p>
    <w:p w14:paraId="1D54AF76" w14:textId="2CC81B43" w:rsidR="00627CEB" w:rsidRPr="00627CEB" w:rsidRDefault="00627CEB" w:rsidP="00403C23">
      <w:pPr>
        <w:pStyle w:val="BodyText"/>
        <w:spacing w:before="1"/>
        <w:ind w:right="145"/>
        <w:rPr>
          <w:sz w:val="22"/>
          <w:szCs w:val="22"/>
        </w:rPr>
      </w:pPr>
      <w:r w:rsidRPr="00627CEB">
        <w:rPr>
          <w:sz w:val="22"/>
          <w:szCs w:val="22"/>
        </w:rPr>
        <w:t xml:space="preserve">If, during the performance of this contract, the price of the material or cost of the labor involved significantly increases through no fault of the supplier, a price increase may be considered. Documentation of a price increase for materials is required from the manufacturer. Documentation of a price increase for labor is required from the supplier. Any proposed increases in labor and/or materials may not exceed increases in CPI (Consumer Price Index) for the same </w:t>
      </w:r>
      <w:proofErr w:type="gramStart"/>
      <w:r w:rsidRPr="00627CEB">
        <w:rPr>
          <w:sz w:val="22"/>
          <w:szCs w:val="22"/>
        </w:rPr>
        <w:t>time period</w:t>
      </w:r>
      <w:proofErr w:type="gramEnd"/>
      <w:r w:rsidRPr="00627CEB">
        <w:rPr>
          <w:sz w:val="22"/>
          <w:szCs w:val="22"/>
        </w:rPr>
        <w:t>. All price increases must be approved by both the state and the supplier in writing. Any de-escalation in price shall be passed onto the state immediately while still meeting all specifications, terms, and conditions of the</w:t>
      </w:r>
      <w:r>
        <w:rPr>
          <w:sz w:val="22"/>
          <w:szCs w:val="22"/>
        </w:rPr>
        <w:t xml:space="preserve"> contract.</w:t>
      </w:r>
    </w:p>
    <w:p w14:paraId="32BDD0E2" w14:textId="77777777" w:rsidR="00403C23" w:rsidRPr="00BB78E2" w:rsidRDefault="00403C23" w:rsidP="00403C23">
      <w:pPr>
        <w:pStyle w:val="BodyText"/>
        <w:ind w:left="0"/>
        <w:rPr>
          <w:sz w:val="22"/>
          <w:szCs w:val="22"/>
        </w:rPr>
      </w:pPr>
    </w:p>
    <w:p w14:paraId="37034AF0" w14:textId="77777777" w:rsidR="00403C23" w:rsidRPr="00BB78E2" w:rsidRDefault="00403C23" w:rsidP="00403C23">
      <w:pPr>
        <w:pStyle w:val="BodyText"/>
        <w:ind w:right="179"/>
        <w:rPr>
          <w:sz w:val="22"/>
          <w:szCs w:val="22"/>
        </w:rPr>
      </w:pPr>
      <w:r w:rsidRPr="00BB78E2">
        <w:rPr>
          <w:b/>
          <w:sz w:val="22"/>
          <w:szCs w:val="22"/>
        </w:rPr>
        <w:t xml:space="preserve">Indemnity: </w:t>
      </w:r>
      <w:r w:rsidRPr="00BB78E2">
        <w:rPr>
          <w:sz w:val="22"/>
          <w:szCs w:val="22"/>
        </w:rPr>
        <w:t xml:space="preserve">Contractor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w:t>
      </w:r>
      <w:r w:rsidRPr="00BB78E2">
        <w:rPr>
          <w:sz w:val="22"/>
          <w:szCs w:val="22"/>
        </w:rPr>
        <w:lastRenderedPageBreak/>
        <w:t>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145EB50D" w14:textId="77777777" w:rsidR="00403C23" w:rsidRPr="00BB78E2" w:rsidRDefault="00403C23" w:rsidP="00403C23">
      <w:pPr>
        <w:pStyle w:val="BodyText"/>
        <w:spacing w:before="10"/>
        <w:ind w:left="0"/>
        <w:rPr>
          <w:sz w:val="22"/>
          <w:szCs w:val="22"/>
        </w:rPr>
      </w:pPr>
    </w:p>
    <w:p w14:paraId="105481BA" w14:textId="77777777" w:rsidR="00403C23" w:rsidRPr="00BB78E2" w:rsidRDefault="00403C23" w:rsidP="00403C23">
      <w:pPr>
        <w:pStyle w:val="Heading1"/>
        <w:spacing w:before="1"/>
        <w:rPr>
          <w:sz w:val="22"/>
          <w:szCs w:val="22"/>
        </w:rPr>
      </w:pPr>
      <w:r w:rsidRPr="00BB78E2">
        <w:rPr>
          <w:sz w:val="22"/>
          <w:szCs w:val="22"/>
        </w:rPr>
        <w:t>Non-appropriation of funds:</w:t>
      </w:r>
    </w:p>
    <w:p w14:paraId="1501736C" w14:textId="77777777" w:rsidR="00403C23" w:rsidRPr="00BB78E2" w:rsidRDefault="00403C23" w:rsidP="00403C23">
      <w:pPr>
        <w:pStyle w:val="BodyText"/>
        <w:ind w:right="138"/>
        <w:rPr>
          <w:sz w:val="22"/>
          <w:szCs w:val="22"/>
        </w:rPr>
      </w:pPr>
      <w:r w:rsidRPr="00BB78E2">
        <w:rPr>
          <w:sz w:val="22"/>
          <w:szCs w:val="22"/>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73B5A835" w14:textId="77777777" w:rsidR="00403C23" w:rsidRPr="00BB78E2" w:rsidRDefault="00403C23" w:rsidP="00403C23">
      <w:pPr>
        <w:pStyle w:val="BodyText"/>
        <w:ind w:left="0"/>
        <w:rPr>
          <w:sz w:val="22"/>
          <w:szCs w:val="22"/>
        </w:rPr>
      </w:pPr>
    </w:p>
    <w:p w14:paraId="1B02FF61" w14:textId="77777777" w:rsidR="00403C23" w:rsidRPr="00BB78E2" w:rsidRDefault="00403C23" w:rsidP="00403C23">
      <w:pPr>
        <w:pStyle w:val="Heading1"/>
        <w:rPr>
          <w:sz w:val="22"/>
          <w:szCs w:val="22"/>
        </w:rPr>
      </w:pPr>
      <w:r w:rsidRPr="00BB78E2">
        <w:rPr>
          <w:sz w:val="22"/>
          <w:szCs w:val="22"/>
        </w:rPr>
        <w:t>Proration:</w:t>
      </w:r>
    </w:p>
    <w:p w14:paraId="5D0BE51B" w14:textId="77777777" w:rsidR="00403C23" w:rsidRPr="00BB78E2" w:rsidRDefault="00403C23" w:rsidP="00403C23">
      <w:pPr>
        <w:pStyle w:val="BodyText"/>
        <w:spacing w:before="1"/>
        <w:ind w:right="122"/>
        <w:rPr>
          <w:sz w:val="22"/>
          <w:szCs w:val="22"/>
        </w:rPr>
      </w:pPr>
      <w:r w:rsidRPr="00BB78E2">
        <w:rPr>
          <w:sz w:val="22"/>
          <w:szCs w:val="22"/>
        </w:rPr>
        <w:t>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2C6137D8" w14:textId="77777777" w:rsidR="00403C23" w:rsidRPr="00BB78E2" w:rsidRDefault="00403C23" w:rsidP="00403C23">
      <w:pPr>
        <w:pStyle w:val="BodyText"/>
        <w:ind w:left="0"/>
        <w:rPr>
          <w:sz w:val="22"/>
          <w:szCs w:val="22"/>
        </w:rPr>
      </w:pPr>
    </w:p>
    <w:p w14:paraId="28A816B0" w14:textId="77777777" w:rsidR="00403C23" w:rsidRPr="00BB78E2" w:rsidRDefault="00403C23" w:rsidP="00403C23">
      <w:pPr>
        <w:pStyle w:val="Heading1"/>
        <w:spacing w:line="183" w:lineRule="exact"/>
        <w:rPr>
          <w:sz w:val="22"/>
          <w:szCs w:val="22"/>
        </w:rPr>
      </w:pPr>
      <w:r w:rsidRPr="00BB78E2">
        <w:rPr>
          <w:sz w:val="22"/>
          <w:szCs w:val="22"/>
        </w:rPr>
        <w:t>Quantity:</w:t>
      </w:r>
    </w:p>
    <w:p w14:paraId="537B20C6" w14:textId="77777777" w:rsidR="00403C23" w:rsidRPr="00BB78E2" w:rsidRDefault="00403C23" w:rsidP="00403C23">
      <w:pPr>
        <w:pStyle w:val="BodyText"/>
        <w:ind w:right="122"/>
        <w:rPr>
          <w:sz w:val="22"/>
          <w:szCs w:val="22"/>
        </w:rPr>
      </w:pPr>
      <w:r w:rsidRPr="00BB78E2">
        <w:rPr>
          <w:sz w:val="22"/>
          <w:szCs w:val="22"/>
        </w:rPr>
        <w:t>The exact quantity of each item is unknown. The D</w:t>
      </w:r>
      <w:r>
        <w:rPr>
          <w:sz w:val="22"/>
          <w:szCs w:val="22"/>
        </w:rPr>
        <w:t>epartment of Transportation</w:t>
      </w:r>
      <w:r w:rsidRPr="00BB78E2">
        <w:rPr>
          <w:sz w:val="22"/>
          <w:szCs w:val="22"/>
        </w:rPr>
        <w:t xml:space="preserve"> does not guarantee the State will buy any amount. Orders will be placed by the agency as needed and they will be given complete shipping instructions.</w:t>
      </w:r>
    </w:p>
    <w:p w14:paraId="35A526AB" w14:textId="77777777" w:rsidR="00403C23" w:rsidRPr="00BB78E2" w:rsidRDefault="00403C23" w:rsidP="00403C23">
      <w:pPr>
        <w:pStyle w:val="BodyText"/>
        <w:spacing w:before="11"/>
        <w:ind w:left="0"/>
        <w:rPr>
          <w:sz w:val="22"/>
          <w:szCs w:val="22"/>
        </w:rPr>
      </w:pPr>
    </w:p>
    <w:p w14:paraId="1BC946B0" w14:textId="77777777" w:rsidR="00403C23" w:rsidRPr="00BB78E2" w:rsidRDefault="00403C23" w:rsidP="00403C23">
      <w:pPr>
        <w:pStyle w:val="Heading1"/>
        <w:rPr>
          <w:sz w:val="22"/>
          <w:szCs w:val="22"/>
        </w:rPr>
      </w:pPr>
      <w:r w:rsidRPr="00BB78E2">
        <w:rPr>
          <w:sz w:val="22"/>
          <w:szCs w:val="22"/>
        </w:rPr>
        <w:t>Quote Requirement:</w:t>
      </w:r>
    </w:p>
    <w:p w14:paraId="13A99C3E" w14:textId="3F24D82E" w:rsidR="00403C23" w:rsidRPr="00BB78E2" w:rsidRDefault="00403C23" w:rsidP="00403C23">
      <w:pPr>
        <w:pStyle w:val="BodyText"/>
        <w:spacing w:before="1"/>
        <w:ind w:right="331"/>
        <w:rPr>
          <w:sz w:val="22"/>
          <w:szCs w:val="22"/>
        </w:rPr>
      </w:pPr>
      <w:r w:rsidRPr="00BB78E2">
        <w:rPr>
          <w:sz w:val="22"/>
          <w:szCs w:val="22"/>
        </w:rPr>
        <w:t xml:space="preserve">All quotes shall include </w:t>
      </w:r>
      <w:r>
        <w:rPr>
          <w:sz w:val="22"/>
          <w:szCs w:val="22"/>
        </w:rPr>
        <w:t xml:space="preserve">an estimate per job with the job location with the Area &amp; District the job is located </w:t>
      </w:r>
      <w:proofErr w:type="gramStart"/>
      <w:r>
        <w:rPr>
          <w:sz w:val="22"/>
          <w:szCs w:val="22"/>
        </w:rPr>
        <w:t>in.</w:t>
      </w:r>
      <w:r w:rsidRPr="00BB78E2">
        <w:rPr>
          <w:sz w:val="22"/>
          <w:szCs w:val="22"/>
        </w:rPr>
        <w:t>.</w:t>
      </w:r>
      <w:proofErr w:type="gramEnd"/>
    </w:p>
    <w:p w14:paraId="6CDBA2E1" w14:textId="77777777" w:rsidR="00403C23" w:rsidRPr="00BB78E2" w:rsidRDefault="00403C23" w:rsidP="00403C23">
      <w:pPr>
        <w:pStyle w:val="BodyText"/>
        <w:spacing w:before="11"/>
        <w:ind w:left="0"/>
        <w:rPr>
          <w:sz w:val="22"/>
          <w:szCs w:val="22"/>
        </w:rPr>
      </w:pPr>
    </w:p>
    <w:p w14:paraId="41047FF5" w14:textId="77777777" w:rsidR="00403C23" w:rsidRPr="00BB78E2" w:rsidRDefault="00403C23" w:rsidP="00403C23">
      <w:pPr>
        <w:pStyle w:val="Heading1"/>
        <w:rPr>
          <w:sz w:val="22"/>
          <w:szCs w:val="22"/>
        </w:rPr>
      </w:pPr>
      <w:r w:rsidRPr="00BB78E2">
        <w:rPr>
          <w:sz w:val="22"/>
          <w:szCs w:val="22"/>
        </w:rPr>
        <w:t>Volume Discounts:</w:t>
      </w:r>
    </w:p>
    <w:p w14:paraId="64ADBB55" w14:textId="77777777" w:rsidR="00403C23" w:rsidRPr="00BB78E2" w:rsidRDefault="00403C23" w:rsidP="00403C23">
      <w:pPr>
        <w:pStyle w:val="BodyText"/>
        <w:spacing w:before="1"/>
        <w:ind w:right="229"/>
        <w:rPr>
          <w:sz w:val="22"/>
          <w:szCs w:val="22"/>
        </w:rPr>
      </w:pPr>
      <w:r w:rsidRPr="00BB78E2">
        <w:rPr>
          <w:sz w:val="22"/>
          <w:szCs w:val="22"/>
        </w:rPr>
        <w:t>Volume Discounts are allowed with the provision that any purchasing entity that purchases the equivalent volume be offered the same discount. The State will not file for rebates; the vendor must offer and bill the net discounted price for any applicable offerings.</w:t>
      </w:r>
    </w:p>
    <w:p w14:paraId="77F8AA34" w14:textId="77777777" w:rsidR="00403C23" w:rsidRPr="00BB78E2" w:rsidRDefault="00403C23" w:rsidP="00403C23">
      <w:pPr>
        <w:pStyle w:val="BodyText"/>
        <w:ind w:left="0"/>
        <w:rPr>
          <w:sz w:val="22"/>
          <w:szCs w:val="22"/>
        </w:rPr>
      </w:pPr>
    </w:p>
    <w:p w14:paraId="19A69689" w14:textId="77777777" w:rsidR="00403C23" w:rsidRPr="00BB78E2" w:rsidRDefault="00403C23" w:rsidP="00403C23">
      <w:pPr>
        <w:pStyle w:val="BodyText"/>
        <w:spacing w:before="10"/>
        <w:ind w:left="0"/>
        <w:rPr>
          <w:sz w:val="22"/>
          <w:szCs w:val="22"/>
        </w:rPr>
      </w:pPr>
    </w:p>
    <w:p w14:paraId="26E9D32C" w14:textId="77777777" w:rsidR="00403C23" w:rsidRPr="00BB78E2" w:rsidRDefault="00403C23" w:rsidP="00403C23">
      <w:pPr>
        <w:pStyle w:val="Heading1"/>
        <w:rPr>
          <w:sz w:val="22"/>
          <w:szCs w:val="22"/>
        </w:rPr>
      </w:pPr>
      <w:r w:rsidRPr="00BB78E2">
        <w:rPr>
          <w:sz w:val="22"/>
          <w:szCs w:val="22"/>
        </w:rPr>
        <w:t>Requested information:</w:t>
      </w:r>
    </w:p>
    <w:p w14:paraId="73570ACF" w14:textId="77777777" w:rsidR="00403C23" w:rsidRPr="00BB78E2" w:rsidRDefault="00403C23" w:rsidP="00403C23">
      <w:pPr>
        <w:pStyle w:val="BodyText"/>
        <w:spacing w:before="1"/>
        <w:rPr>
          <w:sz w:val="22"/>
          <w:szCs w:val="22"/>
        </w:rPr>
      </w:pPr>
      <w:r w:rsidRPr="00BB78E2">
        <w:rPr>
          <w:sz w:val="22"/>
          <w:szCs w:val="22"/>
        </w:rPr>
        <w:t>Any additional information requested from a vendor must be furnished within five (5) days from receipt of request.</w:t>
      </w:r>
    </w:p>
    <w:p w14:paraId="6D46A081" w14:textId="77777777" w:rsidR="00403C23" w:rsidRPr="00BB78E2" w:rsidRDefault="00403C23" w:rsidP="00403C23">
      <w:pPr>
        <w:pStyle w:val="BodyText"/>
        <w:spacing w:before="11"/>
        <w:ind w:left="0"/>
        <w:rPr>
          <w:sz w:val="22"/>
          <w:szCs w:val="22"/>
        </w:rPr>
      </w:pPr>
    </w:p>
    <w:p w14:paraId="1137A2BD" w14:textId="77777777" w:rsidR="004F5784" w:rsidRDefault="004F5784"/>
    <w:sectPr w:rsidR="004F578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23"/>
    <w:rsid w:val="000B408B"/>
    <w:rsid w:val="00146C41"/>
    <w:rsid w:val="00214A1B"/>
    <w:rsid w:val="0040386E"/>
    <w:rsid w:val="00403C23"/>
    <w:rsid w:val="004F5784"/>
    <w:rsid w:val="00576427"/>
    <w:rsid w:val="00627CEB"/>
    <w:rsid w:val="00CB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92A5"/>
  <w15:chartTrackingRefBased/>
  <w15:docId w15:val="{D314AE46-8B6E-418A-A360-3930AB17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23"/>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1">
    <w:name w:val="heading 1"/>
    <w:basedOn w:val="Normal"/>
    <w:link w:val="Heading1Char"/>
    <w:uiPriority w:val="9"/>
    <w:qFormat/>
    <w:rsid w:val="00403C23"/>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C23"/>
    <w:rPr>
      <w:rFonts w:ascii="Times New Roman" w:eastAsia="Times New Roman" w:hAnsi="Times New Roman" w:cs="Times New Roman"/>
      <w:b/>
      <w:bCs/>
      <w:kern w:val="0"/>
      <w:sz w:val="16"/>
      <w:szCs w:val="16"/>
      <w:lang w:bidi="en-US"/>
      <w14:ligatures w14:val="none"/>
    </w:rPr>
  </w:style>
  <w:style w:type="paragraph" w:styleId="BodyText">
    <w:name w:val="Body Text"/>
    <w:basedOn w:val="Normal"/>
    <w:link w:val="BodyTextChar"/>
    <w:uiPriority w:val="1"/>
    <w:qFormat/>
    <w:rsid w:val="00403C23"/>
    <w:pPr>
      <w:ind w:left="100"/>
    </w:pPr>
    <w:rPr>
      <w:sz w:val="16"/>
      <w:szCs w:val="16"/>
    </w:rPr>
  </w:style>
  <w:style w:type="character" w:customStyle="1" w:styleId="BodyTextChar">
    <w:name w:val="Body Text Char"/>
    <w:basedOn w:val="DefaultParagraphFont"/>
    <w:link w:val="BodyText"/>
    <w:uiPriority w:val="1"/>
    <w:rsid w:val="00403C23"/>
    <w:rPr>
      <w:rFonts w:ascii="Times New Roman" w:eastAsia="Times New Roman" w:hAnsi="Times New Roman" w:cs="Times New Roman"/>
      <w:kern w:val="0"/>
      <w:sz w:val="16"/>
      <w:szCs w:val="16"/>
      <w:lang w:bidi="en-US"/>
      <w14:ligatures w14:val="none"/>
    </w:rPr>
  </w:style>
  <w:style w:type="character" w:styleId="Hyperlink">
    <w:name w:val="Hyperlink"/>
    <w:basedOn w:val="DefaultParagraphFont"/>
    <w:uiPriority w:val="99"/>
    <w:semiHidden/>
    <w:unhideWhenUsed/>
    <w:rsid w:val="00403C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ids@dot.state.al.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16D31-7AC5-4E18-8EA9-A72B7666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454AB1-5409-4256-A247-39BF83F1123A}">
  <ds:schemaRefs>
    <ds:schemaRef ds:uri="http://schemas.microsoft.com/sharepoint/v3/contenttype/forms"/>
  </ds:schemaRefs>
</ds:datastoreItem>
</file>

<file path=customXml/itemProps3.xml><?xml version="1.0" encoding="utf-8"?>
<ds:datastoreItem xmlns:ds="http://schemas.openxmlformats.org/officeDocument/2006/customXml" ds:itemID="{7E205120-FEAE-46A1-89BA-FAD84E760C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Speigner, Robert K.</dc:creator>
  <cp:keywords/>
  <dc:description/>
  <cp:lastModifiedBy>Johnson, Zeth H.</cp:lastModifiedBy>
  <cp:revision>3</cp:revision>
  <dcterms:created xsi:type="dcterms:W3CDTF">2024-01-03T16:44:00Z</dcterms:created>
  <dcterms:modified xsi:type="dcterms:W3CDTF">2024-01-04T14:44:00Z</dcterms:modified>
</cp:coreProperties>
</file>